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DBAB" w14:textId="738505EF" w:rsidR="009D5A61" w:rsidRDefault="009D5A61" w:rsidP="00211B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  <w:r w:rsidRPr="0029218B">
        <w:rPr>
          <w:rFonts w:ascii="Times New Roman" w:hAnsi="Times New Roman"/>
          <w:szCs w:val="28"/>
        </w:rPr>
        <w:t>Załącznik</w:t>
      </w:r>
      <w:r w:rsidR="0043690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B.75.</w:t>
      </w:r>
    </w:p>
    <w:p w14:paraId="7CC22BB0" w14:textId="77777777" w:rsidR="00211B71" w:rsidRPr="0029218B" w:rsidRDefault="00211B71" w:rsidP="00211B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</w:rPr>
      </w:pPr>
    </w:p>
    <w:p w14:paraId="721908A8" w14:textId="25175DE4" w:rsidR="009D5A61" w:rsidRPr="0029218B" w:rsidRDefault="009D5A61" w:rsidP="00211B7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29218B">
        <w:rPr>
          <w:rFonts w:ascii="Times New Roman" w:hAnsi="Times New Roman"/>
          <w:b/>
          <w:sz w:val="28"/>
          <w:szCs w:val="28"/>
        </w:rPr>
        <w:t>LECZENIE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="00211B71">
        <w:rPr>
          <w:rFonts w:ascii="Times New Roman" w:hAnsi="Times New Roman"/>
          <w:b/>
          <w:sz w:val="28"/>
          <w:szCs w:val="28"/>
        </w:rPr>
        <w:t>CHORYCH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="00211B71">
        <w:rPr>
          <w:rFonts w:ascii="Times New Roman" w:hAnsi="Times New Roman"/>
          <w:b/>
          <w:sz w:val="28"/>
          <w:szCs w:val="28"/>
        </w:rPr>
        <w:t>NA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AKTYWN</w:t>
      </w:r>
      <w:r w:rsidR="00211B71">
        <w:rPr>
          <w:rFonts w:ascii="Times New Roman" w:hAnsi="Times New Roman"/>
          <w:b/>
          <w:sz w:val="28"/>
          <w:szCs w:val="28"/>
        </w:rPr>
        <w:t>Ą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POSTA</w:t>
      </w:r>
      <w:r w:rsidR="00211B71">
        <w:rPr>
          <w:rFonts w:ascii="Times New Roman" w:hAnsi="Times New Roman"/>
          <w:b/>
          <w:sz w:val="28"/>
          <w:szCs w:val="28"/>
        </w:rPr>
        <w:t>Ć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ZIARNINIAKOWATOŚCI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ZAPALENIEM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NACZYŃ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(GPA)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LUB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MIKROSKOPOWE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ZAPALENI</w:t>
      </w:r>
      <w:r w:rsidR="00061664">
        <w:rPr>
          <w:rFonts w:ascii="Times New Roman" w:hAnsi="Times New Roman"/>
          <w:b/>
          <w:sz w:val="28"/>
          <w:szCs w:val="28"/>
        </w:rPr>
        <w:t>E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NACZYŃ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(MPA)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(ICD-10</w:t>
      </w:r>
      <w:r w:rsidR="00211B71">
        <w:rPr>
          <w:rFonts w:ascii="Times New Roman" w:hAnsi="Times New Roman"/>
          <w:b/>
          <w:sz w:val="28"/>
          <w:szCs w:val="28"/>
        </w:rPr>
        <w:t>: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M31.3,</w:t>
      </w:r>
      <w:r w:rsidR="00436904">
        <w:rPr>
          <w:rFonts w:ascii="Times New Roman" w:hAnsi="Times New Roman"/>
          <w:b/>
          <w:sz w:val="28"/>
          <w:szCs w:val="28"/>
        </w:rPr>
        <w:t xml:space="preserve"> </w:t>
      </w:r>
      <w:r w:rsidRPr="0029218B">
        <w:rPr>
          <w:rFonts w:ascii="Times New Roman" w:hAnsi="Times New Roman"/>
          <w:b/>
          <w:sz w:val="28"/>
          <w:szCs w:val="28"/>
        </w:rPr>
        <w:t>M31.8)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1"/>
        <w:gridCol w:w="4647"/>
        <w:gridCol w:w="4650"/>
      </w:tblGrid>
      <w:tr w:rsidR="009D5A61" w:rsidRPr="00211B71" w14:paraId="2B8A8C9C" w14:textId="77777777" w:rsidTr="00211B71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bookmarkEnd w:id="0"/>
          <w:p w14:paraId="456E178E" w14:textId="3F5FA81B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43255B" w:rsidRPr="00211B71" w14:paraId="4EE13088" w14:textId="77777777" w:rsidTr="0043255B">
        <w:trPr>
          <w:trHeight w:val="567"/>
          <w:jc w:val="center"/>
        </w:trPr>
        <w:tc>
          <w:tcPr>
            <w:tcW w:w="1979" w:type="pct"/>
            <w:vAlign w:val="center"/>
          </w:tcPr>
          <w:p w14:paraId="7D411755" w14:textId="77777777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10" w:type="pct"/>
            <w:vAlign w:val="center"/>
          </w:tcPr>
          <w:p w14:paraId="45290FD7" w14:textId="4384C267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11" w:type="pct"/>
            <w:vAlign w:val="center"/>
          </w:tcPr>
          <w:p w14:paraId="784C5642" w14:textId="5BEB4D58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211B71" w:rsidRDefault="009D5A61" w:rsidP="00211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1B71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43255B" w:rsidRPr="00211B71" w14:paraId="491ECA0E" w14:textId="77777777" w:rsidTr="0043255B">
        <w:trPr>
          <w:trHeight w:val="20"/>
          <w:jc w:val="center"/>
        </w:trPr>
        <w:tc>
          <w:tcPr>
            <w:tcW w:w="1979" w:type="pct"/>
          </w:tcPr>
          <w:p w14:paraId="300FA3FB" w14:textId="505AA269" w:rsidR="009D5A61" w:rsidRPr="0043255B" w:rsidRDefault="009D5A61" w:rsidP="0043255B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Pacjent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jest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kwalifikowany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Zespół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Koordynacyjny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Spraw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ziarniniakowatości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zapaleniem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naczyń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(GPA)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mikroskopowego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zapalenia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naczyń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(MPA),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powoływany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Prezesa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Narodowego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Funduszu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Zdrowia.</w:t>
            </w:r>
          </w:p>
          <w:p w14:paraId="4015656B" w14:textId="77777777" w:rsidR="00436904" w:rsidRPr="0043255B" w:rsidRDefault="00436904" w:rsidP="0043255B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3128E1A" w14:textId="0FE09A75" w:rsidR="009D5A61" w:rsidRPr="0043255B" w:rsidRDefault="009D5A61" w:rsidP="0043255B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9E264F1" w14:textId="304C91BB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więcej;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476829" w14:textId="135D1C97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ziarniniakowatości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zapaleniem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naczyń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(GPA)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mikroskopowego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naczyń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(MPA);</w:t>
            </w:r>
          </w:p>
          <w:p w14:paraId="1773DB57" w14:textId="305161FF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ciężka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uogólniona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postać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czyli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przebiegająca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zajętych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2B26867" w14:textId="7F83C48B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wysoka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(2.1.);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5C226B" w14:textId="06DDDFAB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nieskuteczność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indukującej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(2.2.).</w:t>
            </w:r>
          </w:p>
          <w:p w14:paraId="08DA6104" w14:textId="0E35944A" w:rsidR="00C6627D" w:rsidRPr="0043255B" w:rsidRDefault="00C6627D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brak przeciwwskazań do stosowania rytuksymabu określonych w Charakterystyce Produktu Leczniczego.</w:t>
            </w:r>
          </w:p>
          <w:p w14:paraId="66A12508" w14:textId="3BB40BC3" w:rsidR="009D5A61" w:rsidRPr="0043255B" w:rsidRDefault="009D5A61" w:rsidP="0043255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255B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muszą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być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14:paraId="4F168CA8" w14:textId="765CD325" w:rsidR="009D5A61" w:rsidRPr="0043255B" w:rsidRDefault="009D5A61" w:rsidP="0043255B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można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zakwalifikować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innymi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niż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wymienione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postaciami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ziarniniakowatości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zapaleniem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lub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mikroskopowego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zapalenia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naczyń,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niezależnie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od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wartości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BVAS</w:t>
            </w:r>
            <w:r w:rsidR="00E130BD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/WG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poziomu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przeciwciał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ANCA,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które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uwagi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ciężki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przebieg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choroby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>grożą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znacznym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pogorszeniem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stanu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zdrowia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-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uzyskaniu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zgody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Zespołu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Koordynacyjnego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do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Spraw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Leczenia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ziarniniakowatości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zapaleniem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(GPA)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lub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mikroskopowego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zapalenia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naczyń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(MPA).</w:t>
            </w:r>
            <w:r w:rsidR="00436904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</w:p>
          <w:p w14:paraId="434C8896" w14:textId="77777777" w:rsidR="00436904" w:rsidRPr="0043255B" w:rsidRDefault="00436904" w:rsidP="0043255B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2F1EE053" w14:textId="6A20AAB9" w:rsidR="009D5A61" w:rsidRPr="0043255B" w:rsidRDefault="009D5A61" w:rsidP="0043255B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Definicje</w:t>
            </w:r>
          </w:p>
          <w:p w14:paraId="4E909B14" w14:textId="528F438F" w:rsidR="009D5A61" w:rsidRPr="0043255B" w:rsidRDefault="009D5A61" w:rsidP="0043255B">
            <w:pPr>
              <w:pStyle w:val="Akapitzlist"/>
              <w:numPr>
                <w:ilvl w:val="1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Wysoka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aktywność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14:paraId="1C9A40AF" w14:textId="0D7A18D9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objawu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dużego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p-ANCA)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B03B0F" w14:textId="77777777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7D6A536" w14:textId="47B76F02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p-ANCA)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surowicy,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ciężki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ogólny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konieczność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długotrwałego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(min.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miesięcy)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większej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przeliczeniu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prednizon,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która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niesie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sobą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duże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niepożądanych.</w:t>
            </w:r>
          </w:p>
          <w:p w14:paraId="632A8B06" w14:textId="77777777" w:rsidR="00674B60" w:rsidRPr="0043255B" w:rsidRDefault="00674B60" w:rsidP="0043255B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8CDEA2" w14:textId="2E74FEC2" w:rsidR="009D5A61" w:rsidRPr="0043255B" w:rsidRDefault="009D5A61" w:rsidP="0043255B">
            <w:pPr>
              <w:pStyle w:val="Akapitzlist"/>
              <w:numPr>
                <w:ilvl w:val="1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Nieskuteczność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standardowej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14:paraId="1745DAC6" w14:textId="72F36091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definiowanej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indukcyjnego</w:t>
            </w:r>
          </w:p>
          <w:p w14:paraId="6DE6A350" w14:textId="276103C6" w:rsidR="009D5A61" w:rsidRPr="0043255B" w:rsidRDefault="00F9267D" w:rsidP="0043255B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414158B" w14:textId="7061B255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utrzymywanie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definiowanej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dużego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małych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indukcyjnego</w:t>
            </w:r>
          </w:p>
          <w:p w14:paraId="518B5B79" w14:textId="33BF6DB2" w:rsidR="009D5A61" w:rsidRPr="0043255B" w:rsidRDefault="00F9267D" w:rsidP="0043255B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A4112F6" w14:textId="704E85AE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wczesny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definiowany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dotychczasowych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nowych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wzrostem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pierwszych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podtrzymującego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</w:p>
          <w:p w14:paraId="5D8157AF" w14:textId="6FAF7704" w:rsidR="009D5A61" w:rsidRPr="0043255B" w:rsidRDefault="00F9267D" w:rsidP="0043255B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60DB921" w14:textId="73F2E2D3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częste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nawroty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definiowane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zaostrzenie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standardowego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podtrzymującego,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daje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opanować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podtrzymującej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rekomendowanych</w:t>
            </w:r>
            <w:r w:rsidR="00674B60" w:rsidRPr="004325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F4A9DE" w14:textId="77777777" w:rsidR="00674B60" w:rsidRPr="0043255B" w:rsidRDefault="00674B60" w:rsidP="0043255B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83F7B0" w14:textId="216793BE" w:rsidR="009D5A61" w:rsidRPr="0043255B" w:rsidRDefault="009D5A61" w:rsidP="0043255B">
            <w:pPr>
              <w:pStyle w:val="Akapitzlist"/>
              <w:numPr>
                <w:ilvl w:val="1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Standardowe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leczenie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indukujące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remisję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</w:p>
          <w:p w14:paraId="3CC1E677" w14:textId="573F0045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podawany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doustnie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mg/kg/dobę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(max.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200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mg/dobę)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3-6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</w:t>
            </w:r>
          </w:p>
          <w:p w14:paraId="75B340AA" w14:textId="77777777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78C4A700" w14:textId="0F6B65EA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podawany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dożylnie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pulsach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0,75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g/m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vertAlign w:val="superscript"/>
                <w:lang w:eastAsia="ko-KR"/>
              </w:rPr>
              <w:t>2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powierzchni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ciała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4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6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</w:t>
            </w:r>
          </w:p>
          <w:p w14:paraId="2B47A4E9" w14:textId="0348B71B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768E467F" w14:textId="793E633B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podawany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dożylnie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pulsach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15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mg/kg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masy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ciała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(max.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1,2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g;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tygodnie,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następnie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3-6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pulsów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tygodnie)</w:t>
            </w:r>
          </w:p>
          <w:p w14:paraId="4B337DC2" w14:textId="22EB7223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-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skojarzeniu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odpowiednimi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dawkami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glikokortykosteroidów.</w:t>
            </w:r>
          </w:p>
          <w:p w14:paraId="116C4CA1" w14:textId="4C22BC29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Dawki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mogą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być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odpowiednio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zmodyfikowane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przypadku:</w:t>
            </w:r>
          </w:p>
          <w:p w14:paraId="02C4651A" w14:textId="06B35738" w:rsidR="009D5A61" w:rsidRPr="0043255B" w:rsidRDefault="009D5A61" w:rsidP="0043255B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upośledzenia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funkcji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nerek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43675B28" w14:textId="77777777" w:rsidR="009D5A61" w:rsidRPr="0043255B" w:rsidRDefault="009D5A61" w:rsidP="0043255B">
            <w:pPr>
              <w:pStyle w:val="Akapitzlist"/>
              <w:spacing w:after="60" w:line="276" w:lineRule="auto"/>
              <w:ind w:left="454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6F20D6A9" w14:textId="54E1CBC9" w:rsidR="009D5A61" w:rsidRPr="0043255B" w:rsidRDefault="009D5A61" w:rsidP="0043255B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wieku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&gt;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60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lat</w:t>
            </w:r>
          </w:p>
          <w:p w14:paraId="59D80D06" w14:textId="77777777" w:rsidR="009D5A61" w:rsidRPr="0043255B" w:rsidRDefault="009D5A61" w:rsidP="0043255B">
            <w:pPr>
              <w:pStyle w:val="Akapitzlist"/>
              <w:spacing w:after="60" w:line="276" w:lineRule="auto"/>
              <w:ind w:left="454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5078944B" w14:textId="6988B136" w:rsidR="009D5A61" w:rsidRPr="0043255B" w:rsidRDefault="009D5A61" w:rsidP="0043255B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polekowej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cytopenii</w:t>
            </w:r>
            <w:r w:rsidR="00BF1180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</w:t>
            </w:r>
          </w:p>
          <w:p w14:paraId="3C0364E5" w14:textId="77777777" w:rsidR="00674B60" w:rsidRPr="0043255B" w:rsidRDefault="00674B60" w:rsidP="0043255B">
            <w:pPr>
              <w:pStyle w:val="Akapitzlist"/>
              <w:spacing w:after="60" w:line="276" w:lineRule="auto"/>
              <w:ind w:left="68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  <w:p w14:paraId="3CDDD76A" w14:textId="16A1CD1D" w:rsidR="009D5A61" w:rsidRPr="0043255B" w:rsidRDefault="009D5A61" w:rsidP="0043255B">
            <w:pPr>
              <w:pStyle w:val="Akapitzlist"/>
              <w:numPr>
                <w:ilvl w:val="1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Leczenie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podtrzymujące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remisję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</w:p>
          <w:p w14:paraId="259DD301" w14:textId="3D0F1331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lastRenderedPageBreak/>
              <w:t>azatiopryna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mg/kg/dobę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32B48A82" w14:textId="77777777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53325918" w14:textId="77FD3C97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metotreksat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25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mg/tydzień</w:t>
            </w:r>
          </w:p>
          <w:p w14:paraId="4D90CC94" w14:textId="77777777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470521F5" w14:textId="2E79FC0B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leflunomid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mg/dobę</w:t>
            </w:r>
          </w:p>
          <w:p w14:paraId="2AF485D4" w14:textId="292F65AD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  <w:p w14:paraId="01BED6FC" w14:textId="7713C375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mykofenolan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mofetylu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dawce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3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g/dobę</w:t>
            </w:r>
          </w:p>
          <w:p w14:paraId="63E73B20" w14:textId="77777777" w:rsidR="009D5A61" w:rsidRPr="0043255B" w:rsidRDefault="009D5A61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lub</w:t>
            </w:r>
          </w:p>
          <w:p w14:paraId="38D41690" w14:textId="7ECDEFF3" w:rsidR="009D5A61" w:rsidRPr="0043255B" w:rsidRDefault="00BF118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utyksymab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leczeniu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podtrzymującym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należy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podawać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dwóch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wlewach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dożylnych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500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odstępie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dwóch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tygodni,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których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podaje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się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wlew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dożylny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500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mg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6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miesięcy.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Pacjenci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powinni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otrzymywać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ry</w:t>
            </w:r>
            <w:r w:rsidR="00E130BD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uksymab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przez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najmniej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24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miesiące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osiągnieciu</w:t>
            </w:r>
            <w:r w:rsidR="00ED2E18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po osiągnieciu adekwatnej odpowiedzi na leczenie indukcyjne rytuksym</w:t>
            </w:r>
            <w:r w:rsidR="00225D4F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</w:t>
            </w:r>
            <w:r w:rsidR="00ED2E18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bem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(brak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klinicznych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objawów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przedmiotowych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podmiotowych).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przypadku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pacjentów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mogących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podlegać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większemu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ryzyku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nawrotu,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lekarze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powinni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rozważyć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dłuższy,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trwający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5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lat,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czas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leczenia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podtrzymującego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9D5A61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rytuksymabem.</w:t>
            </w:r>
          </w:p>
          <w:p w14:paraId="0920B0F9" w14:textId="36E229A6" w:rsidR="004A79B9" w:rsidRPr="0043255B" w:rsidRDefault="004A79B9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- jeśli nie ma przeciwwskazań i zalecane dawki są dobrze tolerowane; w skojarzeniu z małymi dawkami glikokortykosteroidów (prednizon ≤7,5 mg/dobę)</w:t>
            </w:r>
            <w:r w:rsidR="00674B60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</w:t>
            </w:r>
          </w:p>
          <w:p w14:paraId="1D6493E8" w14:textId="77777777" w:rsidR="00674B60" w:rsidRPr="0043255B" w:rsidRDefault="00674B60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  <w:p w14:paraId="2EF10E3F" w14:textId="20806623" w:rsidR="009D5A61" w:rsidRPr="0043255B" w:rsidRDefault="009D5A61" w:rsidP="0043255B">
            <w:pPr>
              <w:pStyle w:val="Akapitzlist"/>
              <w:numPr>
                <w:ilvl w:val="1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Przeciwwskazania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do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standardowej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terapii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indukującej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remisję</w:t>
            </w:r>
            <w:r w:rsidR="00436904"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to:</w:t>
            </w:r>
          </w:p>
          <w:p w14:paraId="70BC5F99" w14:textId="6FDBBF6E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nadwrażliwość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cyklofosfamid;</w:t>
            </w:r>
          </w:p>
          <w:p w14:paraId="05AC7330" w14:textId="092A8A69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udokumentowane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działania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niepożądane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cyklofosfamidu;</w:t>
            </w:r>
          </w:p>
          <w:p w14:paraId="43CB9CA1" w14:textId="0A9D3089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choroby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powodujące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zastój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w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drogach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żółciowych;</w:t>
            </w:r>
          </w:p>
          <w:p w14:paraId="75449C0F" w14:textId="15A5EE7E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czynne</w:t>
            </w:r>
            <w:r w:rsidR="00436904"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zakażenia;</w:t>
            </w:r>
          </w:p>
          <w:p w14:paraId="6423E7E7" w14:textId="368AF383" w:rsidR="009D5A61" w:rsidRPr="0043255B" w:rsidRDefault="009D5A61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ciąża.</w:t>
            </w:r>
          </w:p>
          <w:p w14:paraId="0BACC654" w14:textId="77777777" w:rsidR="00674B60" w:rsidRPr="0043255B" w:rsidRDefault="00674B60" w:rsidP="0043255B">
            <w:pPr>
              <w:pStyle w:val="Akapitzlist"/>
              <w:spacing w:after="60" w:line="276" w:lineRule="auto"/>
              <w:ind w:left="454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  <w:p w14:paraId="536899C8" w14:textId="77777777" w:rsidR="004F29C5" w:rsidRPr="0043255B" w:rsidRDefault="009D5A61" w:rsidP="0043255B">
            <w:pPr>
              <w:pStyle w:val="Akapitzlist"/>
              <w:numPr>
                <w:ilvl w:val="1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55B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</w:t>
            </w:r>
            <w:r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dekwatna</w:t>
            </w:r>
            <w:r w:rsidR="00436904"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odpowiedź</w:t>
            </w:r>
            <w:r w:rsidR="00436904"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na</w:t>
            </w:r>
            <w:r w:rsidR="00436904"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leczenie</w:t>
            </w:r>
            <w:r w:rsidR="00436904" w:rsidRPr="004325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to:</w:t>
            </w:r>
          </w:p>
          <w:p w14:paraId="5E3BE5A1" w14:textId="2673D9BA" w:rsidR="004A79B9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 przypadku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leczeni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indukcyjne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rytuksymabem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brak klinicznych objawów aktywnej choroby, definiowany jako BVAS/WG = 0, stwierdzony podczas wizyty monitorującej skuteczność leku po 180 (+/- 14) dniach od rozpoczęcia leczenia indukcyjnego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C952D1" w14:textId="42709BDA" w:rsidR="00BF1180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 przypadku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leczeni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podtrzymujące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rytuksymabem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A79B9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brak klinicznych objawów aktywnej choroby, definiowany jako BVAS/WG = 0, stwierdzany podczas wizyt monitorujących skuteczność leku co 180 (+/- 14) dni od rozpoczęcia do zakończenia leczenia podtrzymującego rytuksymabem. </w:t>
            </w:r>
          </w:p>
          <w:p w14:paraId="3E1C0FA9" w14:textId="77777777" w:rsidR="004A79B9" w:rsidRPr="0043255B" w:rsidRDefault="004A79B9" w:rsidP="0043255B">
            <w:pPr>
              <w:pStyle w:val="Akapitzlist"/>
              <w:spacing w:after="60" w:line="276" w:lineRule="auto"/>
              <w:ind w:left="22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  <w:p w14:paraId="32FF0D9E" w14:textId="5E66D179" w:rsidR="009D5A61" w:rsidRPr="0043255B" w:rsidRDefault="009D5A61" w:rsidP="0043255B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włączenia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leczonych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uprzednio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jednorodnych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grup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</w:p>
          <w:p w14:paraId="7DBA22CA" w14:textId="0F647C13" w:rsidR="009D5A61" w:rsidRPr="0043255B" w:rsidRDefault="009D5A61" w:rsidP="0043255B">
            <w:p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3255B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włączani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są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byli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rytuksymabem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ramach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hospitalizacji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jednorodnych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grup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(JGP),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pod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że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przed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leku,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wykazano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tym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czasie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podawanego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leku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włączenie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umożliwiać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zachowanie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ciągłości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leczenia.</w:t>
            </w:r>
          </w:p>
          <w:p w14:paraId="0DA2AD33" w14:textId="1F43C6E2" w:rsidR="004F29C5" w:rsidRPr="0043255B" w:rsidRDefault="009D5A61" w:rsidP="0043255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255B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przerwy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dłuższej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niż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6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chory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wymaga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ponownej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programu.</w:t>
            </w:r>
            <w:r w:rsidR="00C6627D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51A21E1" w14:textId="77777777" w:rsidR="00C6627D" w:rsidRPr="0043255B" w:rsidRDefault="00C6627D" w:rsidP="0043255B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EFBE17" w14:textId="34DB375F" w:rsidR="009D5A61" w:rsidRPr="0043255B" w:rsidRDefault="009D5A61" w:rsidP="0043255B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zakończenia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336A6A6B" w14:textId="35D16755" w:rsidR="003D001A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D001A" w:rsidRPr="0043255B">
              <w:rPr>
                <w:rFonts w:ascii="Times New Roman" w:hAnsi="Times New Roman" w:cs="Times New Roman"/>
                <w:sz w:val="20"/>
                <w:szCs w:val="20"/>
              </w:rPr>
              <w:t>rak adekwatnej odpowiedzi na leczenie indukcyjne rytuksymabem po 180 dniach (±14) od podania;</w:t>
            </w:r>
          </w:p>
          <w:p w14:paraId="39EAAFD0" w14:textId="3CFFEDC4" w:rsidR="003D001A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D001A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przypadku skutecznego leczenia indukcyjnego rytuksymabem z następowym leczeniem podtrzymującym lekiem innym niż </w:t>
            </w:r>
            <w:r w:rsidR="003D001A" w:rsidRPr="00432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rytuksymab - uzyskanie adekwatnej odpowiedzi na leczenie po 180 dniach (±14) od rozpoczęcia terapii indukcyjnej rytuksymabem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C5B7AF" w14:textId="213BC637" w:rsidR="003D001A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D001A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przypadku skutecznego leczenia indukcyjnego i podtrzymującego rytuksymabem - uzyskanie adekwatnej odpowiedzi na leczenie indukcyjne rytuksymabem po 180 dniach (±14) od jego rozpoczęcia i utrzymanie adekwatnej odpowiedzi po każdych 180 dniach (±14) od rozpoczęcia do zakończenia leczenia podtrzymującego rytuksymabem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5C5F76" w14:textId="1BD7BE91" w:rsidR="009D5A61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D001A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przypadku skutecznego leczenia indukcyjnego rytuksymabem i nieskutecznego następowego leczenia podtrzymującego rytuksymabem - uzyskanie adekwatnej odpowiedzi na leczenie indukcyjne rytuksymabem po 180 dniach (±14) od jego rozpoczęcia i nawrót aktywnej choroby po okresie remisji, wymagający zastosowania leczenia indukcyjnego, do którego doszło w trakcie terapii podtrzymującej rytuksymabe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1B5479C8" w14:textId="75697B3A" w:rsidR="005D62F6" w:rsidRPr="0043255B" w:rsidRDefault="005D62F6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pojawienie się przeciwwskazań do stosowania rytuksymabu określonych w</w:t>
            </w:r>
            <w:r w:rsidR="00225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Charakterystyce Produktu Leczniczego.</w:t>
            </w:r>
          </w:p>
          <w:p w14:paraId="02FF2B78" w14:textId="77777777" w:rsidR="004F29C5" w:rsidRPr="0043255B" w:rsidRDefault="004F29C5" w:rsidP="0043255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8A49A1" w14:textId="5D8BBA81" w:rsidR="00705E14" w:rsidRPr="0043255B" w:rsidRDefault="009D5A61" w:rsidP="0043255B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wznowienia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2D426369" w14:textId="381AB362" w:rsidR="00705E14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acjent, u którego zakończono leczenie w programie z powodu spełnienia kryteriów adekwatnej odpowiedzi na leczenie indukcyjne lub podtrzymujące rytuksymabem (zgodnie z kryteriami zakończenia leczenia w programie opisanymi w pkt. </w:t>
            </w:r>
            <w:r w:rsidR="005D62F6" w:rsidRPr="00432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.2 lub pkt </w:t>
            </w:r>
            <w:r w:rsidR="005D62F6" w:rsidRPr="00432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t>.3.), a u którego stwierdzono nawrót choroby (wzrost w skali BVAS/WG do wartości co najmniej 3 punktów), może mieć wznowione leczenie w programie bez wstępnej kwalifikacji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F9E13B" w14:textId="1AF70677" w:rsidR="00705E14" w:rsidRPr="0043255B" w:rsidRDefault="00674B60" w:rsidP="0043255B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acjent, u którego zakończono leczenie w programie z innych powodów niż spełnienie kryteriów adekwatnej odpowiedzi na leczenie (w tym zgodnie z kryteriami zakończenia leczenia w programie opisanymi w pkt. </w:t>
            </w:r>
            <w:r w:rsidR="005D62F6" w:rsidRPr="00432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.1. lub </w:t>
            </w:r>
            <w:r w:rsidR="005D62F6" w:rsidRPr="00432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.4.), u którego stwierdzono </w:t>
            </w:r>
            <w:r w:rsidR="00705E14" w:rsidRPr="00432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nawrót choroby (wzrost w skali BVAS/WG do wartości co najmniej 3 punktów) musi przejść ponowną kwalifikację do programu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9E692C" w14:textId="5C130BD3" w:rsidR="006A2914" w:rsidRPr="0043255B" w:rsidRDefault="00674B60" w:rsidP="0043255B">
            <w:pPr>
              <w:pStyle w:val="Akapitzlist"/>
              <w:widowControl w:val="0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6A2914" w:rsidRPr="004325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programu włącza się, </w:t>
            </w:r>
            <w:r w:rsidR="006A2914" w:rsidRPr="004325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bez konieczności ponownej kwalifikacji</w:t>
            </w:r>
            <w:r w:rsidR="006A2914" w:rsidRPr="004325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w celu zapewnienia kontynuacji terapii </w:t>
            </w:r>
            <w:r w:rsidR="006A2914" w:rsidRPr="0043255B">
              <w:rPr>
                <w:rFonts w:ascii="Times New Roman" w:hAnsi="Times New Roman" w:cs="Times New Roman"/>
                <w:sz w:val="20"/>
                <w:szCs w:val="20"/>
              </w:rPr>
              <w:t>pacjentki wyłączone z programu w związku z ciążą oraz okresem karmienia piersią.</w:t>
            </w:r>
          </w:p>
          <w:p w14:paraId="61B971F2" w14:textId="77777777" w:rsidR="00674B60" w:rsidRPr="0043255B" w:rsidRDefault="00674B60" w:rsidP="0043255B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7FD36C8" w14:textId="2298B66F" w:rsidR="00235C87" w:rsidRPr="0043255B" w:rsidRDefault="00235C87" w:rsidP="0043255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</w:tcPr>
          <w:p w14:paraId="182B5A78" w14:textId="186646BC" w:rsidR="009D5A61" w:rsidRPr="0043255B" w:rsidRDefault="009D5A61" w:rsidP="0043255B">
            <w:pPr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Dawkowanie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sposób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podawania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/>
                <w:sz w:val="20"/>
                <w:szCs w:val="20"/>
              </w:rPr>
              <w:t>rytuksymabu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436904" w:rsidRPr="004325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523A6FD4" w14:textId="3D43FC6A" w:rsidR="009D5A61" w:rsidRPr="0043255B" w:rsidRDefault="009D5A61" w:rsidP="0043255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3255B">
              <w:rPr>
                <w:rFonts w:ascii="Times New Roman" w:hAnsi="Times New Roman"/>
                <w:sz w:val="20"/>
                <w:szCs w:val="20"/>
              </w:rPr>
              <w:t>Po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indukcji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remisji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wyniku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rytuksymabu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jest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stosowanie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podtrzymującego</w:t>
            </w:r>
            <w:r w:rsidR="00436904" w:rsidRPr="004325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/>
                <w:sz w:val="20"/>
                <w:szCs w:val="20"/>
              </w:rPr>
              <w:t>remisję.</w:t>
            </w:r>
          </w:p>
          <w:p w14:paraId="70B6E8E5" w14:textId="7172180A" w:rsidR="009D5A61" w:rsidRPr="0043255B" w:rsidRDefault="00E130BD" w:rsidP="0043255B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Leczenie podtrzymujące rytuksymabem w ramach programu można rozpocząć po potwierdzeniu adekwatnej odpowiedzi na leczenie indukcyjne rytuksymabem (ocena przeprowadzona </w:t>
            </w:r>
            <w:r w:rsidRPr="0043255B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po 180 dniach (±14) od rozpoczęcia leczenia indukcyjnego rytuksymabem), jednak nie wcześniej niż 16 tygodni po podaniu ostatniego wlewu leku.</w:t>
            </w:r>
          </w:p>
        </w:tc>
        <w:tc>
          <w:tcPr>
            <w:tcW w:w="1511" w:type="pct"/>
          </w:tcPr>
          <w:p w14:paraId="34118816" w14:textId="166C9B58" w:rsidR="009D5A61" w:rsidRPr="0043255B" w:rsidRDefault="009D5A61" w:rsidP="0043255B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9E873D" w14:textId="658175D2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BVAS/WG;</w:t>
            </w:r>
          </w:p>
          <w:p w14:paraId="1FB7016F" w14:textId="4FFFEA95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4ABEC3BC" w14:textId="76367DD4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proteinuria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(jeśli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dotyczy);</w:t>
            </w:r>
          </w:p>
          <w:p w14:paraId="1367D6EB" w14:textId="0C0B8DA6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1ACC420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14:paraId="2BECAF6E" w14:textId="490CB83E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3212E475" w14:textId="150A861F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19D319A6" w14:textId="31CED71E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C-reaktywne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528BB12C" w14:textId="3B8B5823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kreatynina;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18C3D8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551E0DA9" w14:textId="667A223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7CFEDE36" w14:textId="1665E71D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anty-HBc;</w:t>
            </w:r>
          </w:p>
          <w:p w14:paraId="589FCB4E" w14:textId="7B773FCC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05475BC3" w14:textId="6E2C3F41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anty-HIV;</w:t>
            </w:r>
          </w:p>
          <w:p w14:paraId="1D97F4F3" w14:textId="62A248EE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cytoplazmie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granulocytów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obojętnochłonnych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p-ANCA);</w:t>
            </w:r>
          </w:p>
          <w:p w14:paraId="699CCF17" w14:textId="7F929496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immunoglobulin: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3FC183C4" w14:textId="0605C112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IgG,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7DE8CAF2" w14:textId="32521C0C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6BE9076" w14:textId="77777777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IgA;</w:t>
            </w:r>
          </w:p>
          <w:p w14:paraId="37B8E419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4B1355C5" w14:textId="766A3A63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3FCE335E" w14:textId="547E35F5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prątkiem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gruźlicy.</w:t>
            </w:r>
          </w:p>
          <w:p w14:paraId="08E8C8DB" w14:textId="77777777" w:rsidR="005416A0" w:rsidRPr="0043255B" w:rsidRDefault="005416A0" w:rsidP="0043255B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957DF4" w14:textId="656E2CA8" w:rsidR="009D5A61" w:rsidRPr="0043255B" w:rsidRDefault="009D5A61" w:rsidP="0043255B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</w:p>
          <w:p w14:paraId="560DED8E" w14:textId="75BFC4F5" w:rsidR="009D5A61" w:rsidRPr="0043255B" w:rsidRDefault="009D5A61" w:rsidP="0043255B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poddaje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ocenie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dniach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(+/-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dni)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rozpoczęcia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E861E9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indukcyjnego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wykonując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następujące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badania:</w:t>
            </w:r>
          </w:p>
          <w:p w14:paraId="6F5F3A59" w14:textId="1E2DF5BB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4E5966" w14:textId="5996D1AF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5FC87BA3" w14:textId="5EC2F634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293C1766" w14:textId="0DBF87AC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015A6F36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05692537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kreatynina.</w:t>
            </w:r>
          </w:p>
          <w:p w14:paraId="2DC5641B" w14:textId="1437F0C7" w:rsidR="009D5A61" w:rsidRPr="0043255B" w:rsidRDefault="009D5A61" w:rsidP="0043255B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Oprócz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wymienionych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pkt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dniach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(+/-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dni)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rozpoczęcia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861E9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indukcyjnego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należy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wykonać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następujące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badania:</w:t>
            </w:r>
          </w:p>
          <w:p w14:paraId="089E3CD5" w14:textId="6440D5B5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BVAS/WG;</w:t>
            </w:r>
          </w:p>
          <w:p w14:paraId="3990637A" w14:textId="3FDA61B4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proteinuria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(jeśli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dotyczy);</w:t>
            </w:r>
          </w:p>
          <w:p w14:paraId="734501F7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14:paraId="3969638E" w14:textId="0AE0BEA3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C-reaktywne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1B1D1E1F" w14:textId="52F90FB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przeciwciała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cytoplazmie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granulocytów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obojętnochłonnych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(c-ANCA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p-ANCA);</w:t>
            </w:r>
          </w:p>
          <w:p w14:paraId="47195571" w14:textId="3BD2ED85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immunoglobulin: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EFA326" w14:textId="592682DB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IgG,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52AD23" w14:textId="2F8FF19B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IgM,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C90ABA" w14:textId="77777777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IgA;</w:t>
            </w:r>
          </w:p>
          <w:p w14:paraId="1AAD7ACF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0C4D06C8" w14:textId="411CCD39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lekarza).</w:t>
            </w:r>
          </w:p>
          <w:p w14:paraId="1FCDEB5E" w14:textId="7B1C933E" w:rsidR="00E861E9" w:rsidRPr="0043255B" w:rsidRDefault="00E861E9" w:rsidP="0043255B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rPr>
                <w:rFonts w:ascii="Times New Roman" w:eastAsia="Batang" w:hAnsi="Times New Roman" w:cs="Times New Roman"/>
                <w:bCs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bCs/>
                <w:sz w:val="20"/>
                <w:szCs w:val="20"/>
                <w:lang w:eastAsia="ko-KR"/>
              </w:rPr>
              <w:t>W trakcie leczenia podtrzymującego rytuksymabem pacjenta poddaje się ocenie bezpieczeństwa i skuteczności terapii co 180 dni (+/- 14 dni) od rozpoczęcia leczenia podtrzymującego rytuksymabem wykonując badania opisane w pkt. 2.1 oraz 2.2.</w:t>
            </w:r>
          </w:p>
          <w:p w14:paraId="6EFF51CD" w14:textId="77777777" w:rsidR="005416A0" w:rsidRPr="0043255B" w:rsidRDefault="005416A0" w:rsidP="0043255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209E740" w14:textId="53F206CE" w:rsidR="009D5A61" w:rsidRPr="0043255B" w:rsidRDefault="009D5A61" w:rsidP="0043255B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wznowieniu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436904"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</w:p>
          <w:p w14:paraId="50F92564" w14:textId="2D3F2E30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BVAS/WG;</w:t>
            </w:r>
          </w:p>
          <w:p w14:paraId="011C4E71" w14:textId="548BAB21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35F9F8C1" w14:textId="65C8B409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proteinuria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(jeśli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dotyczy);</w:t>
            </w:r>
          </w:p>
          <w:p w14:paraId="51C8C454" w14:textId="2574C65F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E20A302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OB;</w:t>
            </w:r>
          </w:p>
          <w:p w14:paraId="651A4B0E" w14:textId="2E68358B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3CBE554B" w14:textId="7281EA5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6CDAE5BA" w14:textId="16093AD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C-reaktywne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24ABF55A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kreatynina;</w:t>
            </w:r>
          </w:p>
          <w:p w14:paraId="73F03D02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62616239" w14:textId="0AEAF1D6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przeciwciała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4D01FF25" w14:textId="05279541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5A95814E" w14:textId="56AB946C" w:rsidR="002A72A5" w:rsidRPr="0043255B" w:rsidRDefault="002A72A5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przeciwciała przeciw cytoplazmie granulocytów obojętnochłonnych (c-ANCA i p-ANCA);</w:t>
            </w:r>
          </w:p>
          <w:p w14:paraId="60A6117F" w14:textId="64CB3FF3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stężenie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immunoglobulin: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5DFA13EB" w14:textId="7EE9F2C6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5DDB15F5" w14:textId="38A1BD0D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IgM,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38E62DF3" w14:textId="77777777" w:rsidR="009D5A61" w:rsidRPr="0043255B" w:rsidRDefault="009D5A61" w:rsidP="0043255B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IgA;</w:t>
            </w:r>
          </w:p>
          <w:p w14:paraId="717D83DD" w14:textId="77777777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7738A526" w14:textId="72D70C14" w:rsidR="009D5A61" w:rsidRPr="0043255B" w:rsidRDefault="009D5A61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436904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leku).</w:t>
            </w:r>
          </w:p>
          <w:p w14:paraId="4CC01842" w14:textId="006F731F" w:rsidR="001F0CCC" w:rsidRPr="0043255B" w:rsidRDefault="001F0CCC" w:rsidP="0043255B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CA42D" w14:textId="16CC2E0C" w:rsidR="001F0CCC" w:rsidRPr="0043255B" w:rsidRDefault="001F0CCC" w:rsidP="0043255B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Na podstawie </w:t>
            </w:r>
            <w:r w:rsidR="00DE3BEB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wyników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badań </w:t>
            </w:r>
            <w:r w:rsidR="00DE3BEB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zgromadzonych w SMPT,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celu monitorowania skuteczności leczenia Zespół Koordynacyjny do Spraw Leczenia ziarniniakowatości z zapaleniem naczyń (GPA) lub mikroskopowego zapalenia naczyń (MPA) </w:t>
            </w:r>
            <w:r w:rsidR="00A21115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dokonuje analizy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wskaźnik</w:t>
            </w:r>
            <w:r w:rsidR="00A21115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ów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odpowiedzi na leczenie, w tym:</w:t>
            </w:r>
          </w:p>
          <w:p w14:paraId="1D3349A3" w14:textId="6CE047DD" w:rsidR="001F0CCC" w:rsidRPr="0043255B" w:rsidRDefault="001F0CCC" w:rsidP="0043255B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ind w:left="45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adekwatna odpowiedź na leczenie indukcyjne rytuksymabem</w:t>
            </w:r>
          </w:p>
          <w:p w14:paraId="539CAC49" w14:textId="5BDD1D55" w:rsidR="001F0CCC" w:rsidRPr="0043255B" w:rsidRDefault="001F0CCC" w:rsidP="0043255B">
            <w:pPr>
              <w:pStyle w:val="Akapitzlist"/>
              <w:numPr>
                <w:ilvl w:val="5"/>
                <w:numId w:val="25"/>
              </w:numPr>
              <w:spacing w:after="60" w:line="276" w:lineRule="auto"/>
              <w:ind w:left="457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adekwatna odpowiedź na leczenie podtrzymujące rytuksymabem</w:t>
            </w:r>
          </w:p>
          <w:p w14:paraId="3C8A3D98" w14:textId="666E05A9" w:rsidR="001F0CCC" w:rsidRPr="0043255B" w:rsidRDefault="001F0CCC" w:rsidP="0043255B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Dane gromadzone są w SMPT i</w:t>
            </w:r>
            <w:r w:rsidR="005D2256"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43255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analizowane przez Zespół Koordynacyjny do Spraw Leczenia ziarniniakowatości z zapaleniem naczyń (GPA) lub mikroskopowego zapalenia naczyń (MPA), który podsumowuje wyniki leczenia w programie lekowym na koniec każdego roku. </w:t>
            </w:r>
          </w:p>
          <w:p w14:paraId="4EA02941" w14:textId="77777777" w:rsidR="001F0CCC" w:rsidRPr="0043255B" w:rsidRDefault="001F0CCC" w:rsidP="0043255B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24AA59" w14:textId="2C3C232C" w:rsidR="009D5A61" w:rsidRPr="0043255B" w:rsidRDefault="009D5A61" w:rsidP="0043255B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Monitorowanie</w:t>
            </w:r>
            <w:r w:rsidR="00436904"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268841" w14:textId="77777777" w:rsidR="005416A0" w:rsidRPr="0043255B" w:rsidRDefault="005416A0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1645E83A" w14:textId="2C4772F7" w:rsidR="005416A0" w:rsidRPr="0043255B" w:rsidRDefault="005416A0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(SMPT)</w:t>
            </w:r>
            <w:r w:rsidR="001F0CCC" w:rsidRPr="0043255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CCC" w:rsidRPr="004325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w tym wskaźniki odpowiedzi na leczenie,</w:t>
            </w:r>
            <w:r w:rsidR="001F0CCC" w:rsidRPr="004325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 udostępnionej przez OW NFZ, z częstotliwością zgodną z opisem programu oraz na zakończenie leczenia;</w:t>
            </w:r>
          </w:p>
          <w:p w14:paraId="39611867" w14:textId="439744B6" w:rsidR="009D5A61" w:rsidRPr="0043255B" w:rsidRDefault="005416A0" w:rsidP="0043255B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255B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</w:t>
            </w:r>
            <w:r w:rsidR="009D5A61" w:rsidRPr="004325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1F3B2" w14:textId="77777777" w:rsidR="009D5A61" w:rsidRPr="0043255B" w:rsidRDefault="009D5A61" w:rsidP="0043255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1B26A29" w14:textId="77777777" w:rsidR="009D5A61" w:rsidRPr="00235C87" w:rsidRDefault="009D5A61" w:rsidP="00235C87">
      <w:pPr>
        <w:pStyle w:val="pismamz"/>
        <w:spacing w:before="1120"/>
        <w:rPr>
          <w:sz w:val="2"/>
          <w:szCs w:val="2"/>
        </w:rPr>
      </w:pPr>
    </w:p>
    <w:sectPr w:rsidR="009D5A61" w:rsidRPr="00235C87" w:rsidSect="00211B71">
      <w:footerReference w:type="first" r:id="rId8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6B12" w14:textId="77777777" w:rsidR="00B20CFD" w:rsidRDefault="00B20CFD">
      <w:pPr>
        <w:spacing w:after="0" w:line="240" w:lineRule="auto"/>
      </w:pPr>
      <w:r>
        <w:separator/>
      </w:r>
    </w:p>
  </w:endnote>
  <w:endnote w:type="continuationSeparator" w:id="0">
    <w:p w14:paraId="6989328D" w14:textId="77777777" w:rsidR="00B20CFD" w:rsidRDefault="00B20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C458E" w14:textId="77777777" w:rsidR="005D5026" w:rsidRDefault="005D5026" w:rsidP="005D50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8E8A3B" w14:textId="77777777" w:rsidR="005D5026" w:rsidRDefault="005D5026">
    <w:pPr>
      <w:pStyle w:val="Stopka"/>
    </w:pPr>
    <w:r w:rsidRPr="00237FAA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93EA5" w14:textId="77777777" w:rsidR="00B20CFD" w:rsidRDefault="00B20CFD">
      <w:pPr>
        <w:spacing w:after="0" w:line="240" w:lineRule="auto"/>
      </w:pPr>
      <w:r>
        <w:separator/>
      </w:r>
    </w:p>
  </w:footnote>
  <w:footnote w:type="continuationSeparator" w:id="0">
    <w:p w14:paraId="28B0BBED" w14:textId="77777777" w:rsidR="00B20CFD" w:rsidRDefault="00B20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6BD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622D50"/>
    <w:multiLevelType w:val="hybridMultilevel"/>
    <w:tmpl w:val="0496533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E12"/>
    <w:multiLevelType w:val="multilevel"/>
    <w:tmpl w:val="64F45F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7D1796"/>
    <w:multiLevelType w:val="hybridMultilevel"/>
    <w:tmpl w:val="F224F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A279D"/>
    <w:multiLevelType w:val="hybridMultilevel"/>
    <w:tmpl w:val="FA30907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01E62"/>
    <w:multiLevelType w:val="hybridMultilevel"/>
    <w:tmpl w:val="B77C9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C24B3"/>
    <w:multiLevelType w:val="hybridMultilevel"/>
    <w:tmpl w:val="545809DC"/>
    <w:lvl w:ilvl="0" w:tplc="E5CC5B82">
      <w:start w:val="1"/>
      <w:numFmt w:val="decimal"/>
      <w:lvlText w:val="%1)"/>
      <w:lvlJc w:val="right"/>
      <w:pPr>
        <w:ind w:left="103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 w15:restartNumberingAfterBreak="0">
    <w:nsid w:val="1AAD0250"/>
    <w:multiLevelType w:val="hybridMultilevel"/>
    <w:tmpl w:val="A8A8A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97896"/>
    <w:multiLevelType w:val="hybridMultilevel"/>
    <w:tmpl w:val="CA3CE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B061E"/>
    <w:multiLevelType w:val="hybridMultilevel"/>
    <w:tmpl w:val="AD6A6B8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10C9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8AF5448"/>
    <w:multiLevelType w:val="hybridMultilevel"/>
    <w:tmpl w:val="4644E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40D44"/>
    <w:multiLevelType w:val="hybridMultilevel"/>
    <w:tmpl w:val="46F212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1C5F"/>
    <w:multiLevelType w:val="hybridMultilevel"/>
    <w:tmpl w:val="5E7ADB9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41826"/>
    <w:multiLevelType w:val="hybridMultilevel"/>
    <w:tmpl w:val="749E5A1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468C0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F2337"/>
    <w:multiLevelType w:val="multilevel"/>
    <w:tmpl w:val="43045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F7332F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3813DB5"/>
    <w:multiLevelType w:val="hybridMultilevel"/>
    <w:tmpl w:val="33AE0F64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A72B1"/>
    <w:multiLevelType w:val="hybridMultilevel"/>
    <w:tmpl w:val="922E945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33B46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C8E797A"/>
    <w:multiLevelType w:val="hybridMultilevel"/>
    <w:tmpl w:val="18D27BF0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21341E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5AF09F5"/>
    <w:multiLevelType w:val="hybridMultilevel"/>
    <w:tmpl w:val="548CE228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42A40"/>
    <w:multiLevelType w:val="hybridMultilevel"/>
    <w:tmpl w:val="48963A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124835">
    <w:abstractNumId w:val="20"/>
  </w:num>
  <w:num w:numId="2" w16cid:durableId="1790466639">
    <w:abstractNumId w:val="13"/>
  </w:num>
  <w:num w:numId="3" w16cid:durableId="1812554254">
    <w:abstractNumId w:val="24"/>
  </w:num>
  <w:num w:numId="4" w16cid:durableId="409693497">
    <w:abstractNumId w:val="4"/>
  </w:num>
  <w:num w:numId="5" w16cid:durableId="1026522865">
    <w:abstractNumId w:val="12"/>
  </w:num>
  <w:num w:numId="6" w16cid:durableId="282422786">
    <w:abstractNumId w:val="1"/>
  </w:num>
  <w:num w:numId="7" w16cid:durableId="1507356048">
    <w:abstractNumId w:val="18"/>
  </w:num>
  <w:num w:numId="8" w16cid:durableId="1050228329">
    <w:abstractNumId w:val="23"/>
  </w:num>
  <w:num w:numId="9" w16cid:durableId="1271743937">
    <w:abstractNumId w:val="17"/>
  </w:num>
  <w:num w:numId="10" w16cid:durableId="1835073632">
    <w:abstractNumId w:val="14"/>
  </w:num>
  <w:num w:numId="11" w16cid:durableId="1300455566">
    <w:abstractNumId w:val="7"/>
  </w:num>
  <w:num w:numId="12" w16cid:durableId="233123532">
    <w:abstractNumId w:val="11"/>
  </w:num>
  <w:num w:numId="13" w16cid:durableId="467403342">
    <w:abstractNumId w:val="9"/>
  </w:num>
  <w:num w:numId="14" w16cid:durableId="1031690175">
    <w:abstractNumId w:val="6"/>
  </w:num>
  <w:num w:numId="15" w16cid:durableId="1868173337">
    <w:abstractNumId w:val="5"/>
  </w:num>
  <w:num w:numId="16" w16cid:durableId="667946178">
    <w:abstractNumId w:val="8"/>
  </w:num>
  <w:num w:numId="17" w16cid:durableId="404450684">
    <w:abstractNumId w:val="3"/>
  </w:num>
  <w:num w:numId="18" w16cid:durableId="135803996">
    <w:abstractNumId w:val="19"/>
  </w:num>
  <w:num w:numId="19" w16cid:durableId="848257527">
    <w:abstractNumId w:val="2"/>
  </w:num>
  <w:num w:numId="20" w16cid:durableId="1100761464">
    <w:abstractNumId w:val="15"/>
  </w:num>
  <w:num w:numId="21" w16cid:durableId="1283610371">
    <w:abstractNumId w:val="21"/>
  </w:num>
  <w:num w:numId="22" w16cid:durableId="2117941965">
    <w:abstractNumId w:val="10"/>
  </w:num>
  <w:num w:numId="23" w16cid:durableId="620696390">
    <w:abstractNumId w:val="22"/>
  </w:num>
  <w:num w:numId="24" w16cid:durableId="217789913">
    <w:abstractNumId w:val="0"/>
  </w:num>
  <w:num w:numId="25" w16cid:durableId="3035080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1"/>
    <w:rsid w:val="00061664"/>
    <w:rsid w:val="000D1932"/>
    <w:rsid w:val="00153E0F"/>
    <w:rsid w:val="00170C51"/>
    <w:rsid w:val="001F0CCC"/>
    <w:rsid w:val="00211B71"/>
    <w:rsid w:val="00225D4F"/>
    <w:rsid w:val="00235C87"/>
    <w:rsid w:val="002A72A5"/>
    <w:rsid w:val="00314C91"/>
    <w:rsid w:val="00321C8A"/>
    <w:rsid w:val="00354215"/>
    <w:rsid w:val="003D001A"/>
    <w:rsid w:val="004139AA"/>
    <w:rsid w:val="0043255B"/>
    <w:rsid w:val="00436904"/>
    <w:rsid w:val="004A79B9"/>
    <w:rsid w:val="004F29C5"/>
    <w:rsid w:val="005416A0"/>
    <w:rsid w:val="005674E0"/>
    <w:rsid w:val="005A11FA"/>
    <w:rsid w:val="005D2256"/>
    <w:rsid w:val="005D5026"/>
    <w:rsid w:val="005D62F6"/>
    <w:rsid w:val="005E102A"/>
    <w:rsid w:val="005F15FD"/>
    <w:rsid w:val="00673848"/>
    <w:rsid w:val="00674B60"/>
    <w:rsid w:val="006A2914"/>
    <w:rsid w:val="00705E14"/>
    <w:rsid w:val="007E126E"/>
    <w:rsid w:val="008F13E7"/>
    <w:rsid w:val="00923B8E"/>
    <w:rsid w:val="00970E26"/>
    <w:rsid w:val="009D5A61"/>
    <w:rsid w:val="009D6231"/>
    <w:rsid w:val="00A21115"/>
    <w:rsid w:val="00A97E71"/>
    <w:rsid w:val="00B20CFD"/>
    <w:rsid w:val="00B23AD3"/>
    <w:rsid w:val="00BD498C"/>
    <w:rsid w:val="00BF1180"/>
    <w:rsid w:val="00C6627D"/>
    <w:rsid w:val="00CC1290"/>
    <w:rsid w:val="00DE3BEB"/>
    <w:rsid w:val="00E130BD"/>
    <w:rsid w:val="00E428CD"/>
    <w:rsid w:val="00E861E9"/>
    <w:rsid w:val="00ED2E18"/>
    <w:rsid w:val="00EE7374"/>
    <w:rsid w:val="00F1202E"/>
    <w:rsid w:val="00F75855"/>
    <w:rsid w:val="00F9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D14655FF-5E79-4385-B37E-1767052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basedOn w:val="Normalny"/>
    <w:uiPriority w:val="99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4C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4C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C91"/>
    <w:rPr>
      <w:b/>
      <w:bCs/>
      <w:lang w:eastAsia="en-US"/>
    </w:rPr>
  </w:style>
  <w:style w:type="paragraph" w:styleId="Poprawka">
    <w:name w:val="Revision"/>
    <w:hidden/>
    <w:uiPriority w:val="99"/>
    <w:semiHidden/>
    <w:rsid w:val="005A11FA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ED2E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8CC0C-CF5B-48B3-876B-98A8B261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1739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Biernat Ewa</cp:lastModifiedBy>
  <cp:revision>4</cp:revision>
  <cp:lastPrinted>2014-08-04T19:00:00Z</cp:lastPrinted>
  <dcterms:created xsi:type="dcterms:W3CDTF">2023-02-06T11:33:00Z</dcterms:created>
  <dcterms:modified xsi:type="dcterms:W3CDTF">2023-02-06T13:11:00Z</dcterms:modified>
</cp:coreProperties>
</file>